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B6CB0" w14:textId="77777777" w:rsidR="00DE6C3C" w:rsidRDefault="00DE6C3C">
      <w:pPr>
        <w:pStyle w:val="Body"/>
      </w:pPr>
    </w:p>
    <w:p w14:paraId="13E55988" w14:textId="77777777" w:rsidR="00DE6C3C" w:rsidRDefault="00DE6C3C">
      <w:pPr>
        <w:pStyle w:val="Body"/>
      </w:pPr>
    </w:p>
    <w:p w14:paraId="60A875B8" w14:textId="77777777" w:rsidR="00DE6C3C" w:rsidRDefault="00DE6C3C">
      <w:pPr>
        <w:pStyle w:val="Body"/>
      </w:pPr>
    </w:p>
    <w:p w14:paraId="39B90057" w14:textId="51A920E3" w:rsidR="00DE6C3C" w:rsidRDefault="00000000">
      <w:pPr>
        <w:pStyle w:val="Body"/>
      </w:pPr>
      <w:r>
        <w:rPr>
          <w:rFonts w:eastAsia="Arial Unicode MS" w:cs="Arial Unicode MS"/>
          <w:lang w:val="en-US"/>
        </w:rPr>
        <w:t xml:space="preserve">Article18 and CSW would like to express </w:t>
      </w:r>
      <w:r w:rsidR="00CC5BD5">
        <w:rPr>
          <w:rFonts w:eastAsia="Arial Unicode MS" w:cs="Arial Unicode MS"/>
          <w:lang w:val="en-US"/>
        </w:rPr>
        <w:t xml:space="preserve">our </w:t>
      </w:r>
      <w:r>
        <w:rPr>
          <w:rFonts w:eastAsia="Arial Unicode MS" w:cs="Arial Unicode MS"/>
          <w:lang w:val="en-US"/>
        </w:rPr>
        <w:t xml:space="preserve">appreciation for the convening of </w:t>
      </w:r>
      <w:r w:rsidR="003640DA">
        <w:rPr>
          <w:rFonts w:eastAsia="Arial Unicode MS" w:cs="Arial Unicode MS"/>
          <w:lang w:val="en-US"/>
        </w:rPr>
        <w:t>a</w:t>
      </w:r>
      <w:r>
        <w:rPr>
          <w:rFonts w:eastAsia="Arial Unicode MS" w:cs="Arial Unicode MS"/>
          <w:lang w:val="en-US"/>
        </w:rPr>
        <w:t xml:space="preserve"> special session</w:t>
      </w:r>
      <w:r w:rsidR="003640DA">
        <w:rPr>
          <w:rFonts w:eastAsia="Arial Unicode MS" w:cs="Arial Unicode MS"/>
          <w:lang w:val="en-US"/>
        </w:rPr>
        <w:t xml:space="preserve"> </w:t>
      </w:r>
      <w:proofErr w:type="gramStart"/>
      <w:r w:rsidR="003640DA">
        <w:rPr>
          <w:rFonts w:eastAsia="Arial Unicode MS" w:cs="Arial Unicode MS"/>
          <w:lang w:val="en-US"/>
        </w:rPr>
        <w:t>on</w:t>
      </w:r>
      <w:proofErr w:type="gramEnd"/>
      <w:r w:rsidR="003640DA">
        <w:rPr>
          <w:rFonts w:eastAsia="Arial Unicode MS" w:cs="Arial Unicode MS"/>
          <w:lang w:val="en-US"/>
        </w:rPr>
        <w:t xml:space="preserve"> Iran by the Human Rights Council</w:t>
      </w:r>
      <w:r>
        <w:rPr>
          <w:rFonts w:eastAsia="Arial Unicode MS" w:cs="Arial Unicode MS"/>
          <w:lang w:val="en-US"/>
        </w:rPr>
        <w:t xml:space="preserve">. We also extend our condolences to all who </w:t>
      </w:r>
      <w:r w:rsidR="003640DA">
        <w:rPr>
          <w:rFonts w:eastAsia="Arial Unicode MS" w:cs="Arial Unicode MS"/>
          <w:lang w:val="en-US"/>
        </w:rPr>
        <w:t xml:space="preserve">are </w:t>
      </w:r>
      <w:r>
        <w:rPr>
          <w:rFonts w:eastAsia="Arial Unicode MS" w:cs="Arial Unicode MS"/>
          <w:lang w:val="en-US"/>
        </w:rPr>
        <w:t>mourn</w:t>
      </w:r>
      <w:r w:rsidR="003640DA">
        <w:rPr>
          <w:rFonts w:eastAsia="Arial Unicode MS" w:cs="Arial Unicode MS"/>
          <w:lang w:val="en-US"/>
        </w:rPr>
        <w:t>ing</w:t>
      </w:r>
      <w:r>
        <w:rPr>
          <w:rFonts w:eastAsia="Arial Unicode MS" w:cs="Arial Unicode MS"/>
          <w:lang w:val="en-US"/>
        </w:rPr>
        <w:t>, and our solidarity to those continuing to risk their lives in the search for justice.</w:t>
      </w:r>
    </w:p>
    <w:p w14:paraId="094EE40C" w14:textId="77777777" w:rsidR="00DE6C3C" w:rsidRDefault="00000000">
      <w:pPr>
        <w:pStyle w:val="Body"/>
      </w:pPr>
      <w:r>
        <w:rPr>
          <w:rFonts w:eastAsia="Arial Unicode MS" w:cs="Arial Unicode MS"/>
          <w:lang w:val="en-US"/>
        </w:rPr>
        <w:t xml:space="preserve">At their core, the ongoing protests are a cry for freedom: the freedom of the Iranian people to live in a way that corresponds with their beliefs. </w:t>
      </w:r>
    </w:p>
    <w:p w14:paraId="328F5D0D" w14:textId="77777777" w:rsidR="00DE6C3C" w:rsidRDefault="00000000">
      <w:pPr>
        <w:pStyle w:val="Body"/>
      </w:pPr>
      <w:proofErr w:type="spellStart"/>
      <w:r>
        <w:rPr>
          <w:rFonts w:eastAsia="Arial Unicode MS" w:cs="Arial Unicode MS"/>
          <w:lang w:val="en-US"/>
        </w:rPr>
        <w:t>Mahsa</w:t>
      </w:r>
      <w:proofErr w:type="spellEnd"/>
      <w:r>
        <w:rPr>
          <w:rFonts w:eastAsia="Arial Unicode MS" w:cs="Arial Unicode MS"/>
          <w:lang w:val="en-US"/>
        </w:rPr>
        <w:t xml:space="preserve"> </w:t>
      </w:r>
      <w:proofErr w:type="spellStart"/>
      <w:r>
        <w:rPr>
          <w:rFonts w:eastAsia="Arial Unicode MS" w:cs="Arial Unicode MS"/>
          <w:lang w:val="en-US"/>
        </w:rPr>
        <w:t>Amini</w:t>
      </w:r>
      <w:proofErr w:type="spellEnd"/>
      <w:r>
        <w:rPr>
          <w:rFonts w:eastAsia="Arial Unicode MS" w:cs="Arial Unicode MS"/>
          <w:lang w:val="en-US"/>
        </w:rPr>
        <w:t xml:space="preserve"> was arrested, and ultimately killed, because she was deemed to have failed to properly adhere to the dress code of the majority faith - a dress code that for nearly 44 years has been imposed on Iranians of all faiths and none.</w:t>
      </w:r>
    </w:p>
    <w:p w14:paraId="40F19A82" w14:textId="6F333097" w:rsidR="00DE6C3C" w:rsidRDefault="00000000">
      <w:pPr>
        <w:pStyle w:val="Body"/>
      </w:pPr>
      <w:r>
        <w:rPr>
          <w:rFonts w:eastAsia="Arial Unicode MS" w:cs="Arial Unicode MS"/>
          <w:lang w:val="en-US"/>
        </w:rPr>
        <w:t>We do not believe that this is right. Furthermore, we believe that by imposing such a dress code on all Iranians, the Islamic Republic is failing to abide by its obligations as a signatory to the International Covenant on Civil and Political Rights, which articulates the right</w:t>
      </w:r>
      <w:r w:rsidR="00C675D1">
        <w:rPr>
          <w:rFonts w:eastAsia="Arial Unicode MS" w:cs="Arial Unicode MS"/>
          <w:lang w:val="en-US"/>
        </w:rPr>
        <w:t xml:space="preserve"> to ‘</w:t>
      </w:r>
      <w:r>
        <w:rPr>
          <w:rFonts w:eastAsia="Arial Unicode MS" w:cs="Arial Unicode MS"/>
          <w:lang w:val="en-US"/>
        </w:rPr>
        <w:t xml:space="preserve">have or adopt a religion or belief of his choice, and </w:t>
      </w:r>
      <w:r>
        <w:rPr>
          <w:rFonts w:eastAsia="Arial Unicode MS" w:cs="Arial Unicode MS"/>
        </w:rPr>
        <w:t xml:space="preserve">… </w:t>
      </w:r>
      <w:r>
        <w:rPr>
          <w:rFonts w:eastAsia="Arial Unicode MS" w:cs="Arial Unicode MS"/>
          <w:lang w:val="en-US"/>
        </w:rPr>
        <w:t>to manifest [ones] religion or belief in worship, observance, practice and teaching</w:t>
      </w:r>
      <w:r w:rsidR="00C675D1">
        <w:rPr>
          <w:rFonts w:eastAsia="Arial Unicode MS" w:cs="Arial Unicode MS"/>
          <w:lang w:val="en-US"/>
        </w:rPr>
        <w:t>.</w:t>
      </w:r>
      <w:r w:rsidR="00C675D1">
        <w:rPr>
          <w:rFonts w:eastAsia="Arial Unicode MS" w:cs="Arial Unicode MS"/>
        </w:rPr>
        <w:t>’</w:t>
      </w:r>
    </w:p>
    <w:p w14:paraId="0FC13E74" w14:textId="720E6C79" w:rsidR="00DE6C3C" w:rsidRDefault="00000000">
      <w:pPr>
        <w:pStyle w:val="Body"/>
      </w:pPr>
      <w:r>
        <w:rPr>
          <w:rFonts w:eastAsia="Arial Unicode MS" w:cs="Arial Unicode MS"/>
          <w:lang w:val="en-US"/>
        </w:rPr>
        <w:t xml:space="preserve">Even in its constitution, the Islamic Republic fails to adhere to these guidelines, by only </w:t>
      </w:r>
      <w:proofErr w:type="spellStart"/>
      <w:r>
        <w:rPr>
          <w:rFonts w:eastAsia="Arial Unicode MS" w:cs="Arial Unicode MS"/>
          <w:lang w:val="en-US"/>
        </w:rPr>
        <w:t>recognising</w:t>
      </w:r>
      <w:proofErr w:type="spellEnd"/>
      <w:r>
        <w:rPr>
          <w:rFonts w:eastAsia="Arial Unicode MS" w:cs="Arial Unicode MS"/>
          <w:lang w:val="en-US"/>
        </w:rPr>
        <w:t xml:space="preserve"> Islam, as well as Judaism, </w:t>
      </w:r>
      <w:proofErr w:type="gramStart"/>
      <w:r>
        <w:rPr>
          <w:rFonts w:eastAsia="Arial Unicode MS" w:cs="Arial Unicode MS"/>
          <w:lang w:val="en-US"/>
        </w:rPr>
        <w:t>Christianity</w:t>
      </w:r>
      <w:proofErr w:type="gramEnd"/>
      <w:r>
        <w:rPr>
          <w:rFonts w:eastAsia="Arial Unicode MS" w:cs="Arial Unicode MS"/>
          <w:lang w:val="en-US"/>
        </w:rPr>
        <w:t xml:space="preserve"> and Zoroastrianism.  All other </w:t>
      </w:r>
      <w:r w:rsidR="00C675D1">
        <w:rPr>
          <w:rFonts w:eastAsia="Arial Unicode MS" w:cs="Arial Unicode MS"/>
          <w:lang w:val="en-US"/>
        </w:rPr>
        <w:t xml:space="preserve">religions or </w:t>
      </w:r>
      <w:r>
        <w:rPr>
          <w:rFonts w:eastAsia="Arial Unicode MS" w:cs="Arial Unicode MS"/>
          <w:lang w:val="en-US"/>
        </w:rPr>
        <w:t>beliefs - such as Baha</w:t>
      </w:r>
      <w:r>
        <w:rPr>
          <w:rFonts w:eastAsia="Arial Unicode MS" w:cs="Arial Unicode MS"/>
          <w:rtl/>
        </w:rPr>
        <w:t>’</w:t>
      </w:r>
      <w:r>
        <w:rPr>
          <w:rFonts w:eastAsia="Arial Unicode MS" w:cs="Arial Unicode MS"/>
          <w:lang w:val="en-US"/>
        </w:rPr>
        <w:t xml:space="preserve">ism </w:t>
      </w:r>
      <w:proofErr w:type="spellStart"/>
      <w:r w:rsidR="00C675D1" w:rsidRPr="00C675D1">
        <w:rPr>
          <w:rFonts w:eastAsia="Arial Unicode MS" w:cs="Arial Unicode MS"/>
          <w:lang w:val="en-US"/>
        </w:rPr>
        <w:t>Yarsan</w:t>
      </w:r>
      <w:r w:rsidR="00C675D1">
        <w:rPr>
          <w:rFonts w:eastAsia="Arial Unicode MS" w:cs="Arial Unicode MS"/>
          <w:lang w:val="en-US"/>
        </w:rPr>
        <w:t>ism</w:t>
      </w:r>
      <w:proofErr w:type="spellEnd"/>
      <w:r w:rsidR="00C675D1" w:rsidRPr="00C675D1">
        <w:rPr>
          <w:rFonts w:eastAsia="Arial Unicode MS" w:cs="Arial Unicode MS"/>
          <w:lang w:val="en-US"/>
        </w:rPr>
        <w:t xml:space="preserve">, </w:t>
      </w:r>
      <w:proofErr w:type="spellStart"/>
      <w:r w:rsidR="00C675D1" w:rsidRPr="00C675D1">
        <w:rPr>
          <w:rFonts w:eastAsia="Arial Unicode MS" w:cs="Arial Unicode MS"/>
          <w:lang w:val="en-US"/>
        </w:rPr>
        <w:t>Mandae</w:t>
      </w:r>
      <w:r w:rsidR="00C675D1">
        <w:rPr>
          <w:rFonts w:eastAsia="Arial Unicode MS" w:cs="Arial Unicode MS"/>
          <w:lang w:val="en-US"/>
        </w:rPr>
        <w:t>i</w:t>
      </w:r>
      <w:r w:rsidR="00C675D1" w:rsidRPr="00C675D1">
        <w:rPr>
          <w:rFonts w:eastAsia="Arial Unicode MS" w:cs="Arial Unicode MS"/>
          <w:lang w:val="en-US"/>
        </w:rPr>
        <w:t>s</w:t>
      </w:r>
      <w:r w:rsidR="00C675D1">
        <w:rPr>
          <w:rFonts w:eastAsia="Arial Unicode MS" w:cs="Arial Unicode MS"/>
          <w:lang w:val="en-US"/>
        </w:rPr>
        <w:t>m</w:t>
      </w:r>
      <w:proofErr w:type="spellEnd"/>
      <w:r w:rsidR="00C675D1" w:rsidRPr="00C675D1">
        <w:rPr>
          <w:rFonts w:eastAsia="Arial Unicode MS" w:cs="Arial Unicode MS"/>
          <w:lang w:val="en-US"/>
        </w:rPr>
        <w:t>,</w:t>
      </w:r>
      <w:r w:rsidR="00C675D1">
        <w:rPr>
          <w:rFonts w:eastAsia="Arial Unicode MS" w:cs="Arial Unicode MS"/>
          <w:lang w:val="en-US"/>
        </w:rPr>
        <w:t xml:space="preserve"> Irreligion, </w:t>
      </w:r>
      <w:r w:rsidR="00805F7E">
        <w:rPr>
          <w:rFonts w:eastAsia="Arial Unicode MS" w:cs="Arial Unicode MS"/>
          <w:lang w:val="en-US"/>
        </w:rPr>
        <w:t>and</w:t>
      </w:r>
      <w:r>
        <w:rPr>
          <w:rFonts w:eastAsia="Arial Unicode MS" w:cs="Arial Unicode MS"/>
          <w:lang w:val="en-US"/>
        </w:rPr>
        <w:t xml:space="preserve"> conver</w:t>
      </w:r>
      <w:r w:rsidR="00C675D1">
        <w:rPr>
          <w:rFonts w:eastAsia="Arial Unicode MS" w:cs="Arial Unicode MS"/>
          <w:lang w:val="en-US"/>
        </w:rPr>
        <w:t>sion, particularly</w:t>
      </w:r>
      <w:r>
        <w:rPr>
          <w:rFonts w:eastAsia="Arial Unicode MS" w:cs="Arial Unicode MS"/>
          <w:lang w:val="en-US"/>
        </w:rPr>
        <w:t xml:space="preserve"> to Christianity - remain </w:t>
      </w:r>
      <w:proofErr w:type="spellStart"/>
      <w:r>
        <w:rPr>
          <w:rFonts w:eastAsia="Arial Unicode MS" w:cs="Arial Unicode MS"/>
          <w:lang w:val="en-US"/>
        </w:rPr>
        <w:t>unrecognised</w:t>
      </w:r>
      <w:proofErr w:type="spellEnd"/>
      <w:r>
        <w:rPr>
          <w:rFonts w:eastAsia="Arial Unicode MS" w:cs="Arial Unicode MS"/>
          <w:lang w:val="en-US"/>
        </w:rPr>
        <w:t xml:space="preserve">. </w:t>
      </w:r>
      <w:r w:rsidR="00C675D1">
        <w:rPr>
          <w:rFonts w:eastAsia="Arial Unicode MS" w:cs="Arial Unicode MS"/>
          <w:lang w:val="en-US"/>
        </w:rPr>
        <w:t>A</w:t>
      </w:r>
      <w:r>
        <w:rPr>
          <w:rFonts w:eastAsia="Arial Unicode MS" w:cs="Arial Unicode MS"/>
          <w:lang w:val="en-US"/>
        </w:rPr>
        <w:t>dherents face discrimination, harassment, and even persecution</w:t>
      </w:r>
      <w:r>
        <w:rPr>
          <w:vertAlign w:val="superscript"/>
        </w:rPr>
        <w:footnoteReference w:id="2"/>
      </w:r>
      <w:r>
        <w:rPr>
          <w:rFonts w:eastAsia="Arial Unicode MS" w:cs="Arial Unicode MS"/>
          <w:lang w:val="en-US"/>
        </w:rPr>
        <w:t xml:space="preserve"> through arrest, imprisonment, denial of education, torture, confiscation of property, among other things, and even </w:t>
      </w:r>
      <w:proofErr w:type="spellStart"/>
      <w:r>
        <w:rPr>
          <w:rFonts w:eastAsia="Arial Unicode MS" w:cs="Arial Unicode MS"/>
          <w:lang w:val="en-US"/>
        </w:rPr>
        <w:t>recognised</w:t>
      </w:r>
      <w:proofErr w:type="spellEnd"/>
      <w:r>
        <w:rPr>
          <w:rFonts w:eastAsia="Arial Unicode MS" w:cs="Arial Unicode MS"/>
          <w:lang w:val="en-US"/>
        </w:rPr>
        <w:t xml:space="preserve"> religious and belief minorities do not enjoy equal rights, </w:t>
      </w:r>
      <w:r w:rsidR="00C675D1">
        <w:rPr>
          <w:rFonts w:eastAsia="Arial Unicode MS" w:cs="Arial Unicode MS"/>
          <w:lang w:val="en-US"/>
        </w:rPr>
        <w:t>experiencing</w:t>
      </w:r>
      <w:r>
        <w:rPr>
          <w:rFonts w:eastAsia="Arial Unicode MS" w:cs="Arial Unicode MS"/>
          <w:lang w:val="en-US"/>
        </w:rPr>
        <w:t xml:space="preserve"> widespread discrimination. </w:t>
      </w:r>
    </w:p>
    <w:p w14:paraId="038597B9" w14:textId="3F7B07C3" w:rsidR="00DE6C3C" w:rsidRDefault="00000000">
      <w:pPr>
        <w:pStyle w:val="Body"/>
      </w:pPr>
      <w:r>
        <w:rPr>
          <w:rFonts w:eastAsia="Arial Unicode MS" w:cs="Arial Unicode MS"/>
          <w:lang w:val="en-US"/>
        </w:rPr>
        <w:t xml:space="preserve">We believe that freedom of religion or belief is a </w:t>
      </w:r>
      <w:r>
        <w:rPr>
          <w:rFonts w:eastAsia="Arial Unicode MS" w:cs="Arial Unicode MS"/>
          <w:rtl/>
        </w:rPr>
        <w:t>‘</w:t>
      </w:r>
      <w:r>
        <w:rPr>
          <w:rFonts w:eastAsia="Arial Unicode MS" w:cs="Arial Unicode MS"/>
          <w:lang w:val="en-US"/>
        </w:rPr>
        <w:t>bellwether right</w:t>
      </w:r>
      <w:r>
        <w:rPr>
          <w:rFonts w:eastAsia="Arial Unicode MS" w:cs="Arial Unicode MS"/>
          <w:rtl/>
        </w:rPr>
        <w:t>’</w:t>
      </w:r>
      <w:r>
        <w:rPr>
          <w:rFonts w:eastAsia="Arial Unicode MS" w:cs="Arial Unicode MS"/>
          <w:lang w:val="en-US"/>
        </w:rPr>
        <w:t>: its absence or severe restriction is an early warning or indication of a deterioration in the general situation of human rights, which could eventually occasion civil unrest. Freedom of religion or belief</w:t>
      </w:r>
      <w:r w:rsidR="003640DA">
        <w:rPr>
          <w:rFonts w:eastAsia="Arial Unicode MS" w:cs="Arial Unicode MS"/>
          <w:lang w:val="en-US"/>
        </w:rPr>
        <w:t xml:space="preserve"> ‘</w:t>
      </w:r>
      <w:r>
        <w:rPr>
          <w:rFonts w:eastAsia="Arial Unicode MS" w:cs="Arial Unicode MS"/>
          <w:lang w:val="en-US"/>
        </w:rPr>
        <w:t xml:space="preserve">encourages respect for diversity, and its free exercise contributes towards strengthening democracy, development, rule of law, </w:t>
      </w:r>
      <w:proofErr w:type="gramStart"/>
      <w:r>
        <w:rPr>
          <w:rFonts w:eastAsia="Arial Unicode MS" w:cs="Arial Unicode MS"/>
          <w:lang w:val="en-US"/>
        </w:rPr>
        <w:t>peace</w:t>
      </w:r>
      <w:proofErr w:type="gramEnd"/>
      <w:r>
        <w:rPr>
          <w:rFonts w:eastAsia="Arial Unicode MS" w:cs="Arial Unicode MS"/>
          <w:lang w:val="en-US"/>
        </w:rPr>
        <w:t xml:space="preserve"> and stability. Neglecting, </w:t>
      </w:r>
      <w:proofErr w:type="gramStart"/>
      <w:r>
        <w:rPr>
          <w:rFonts w:eastAsia="Arial Unicode MS" w:cs="Arial Unicode MS"/>
          <w:lang w:val="en-US"/>
        </w:rPr>
        <w:t>restricting</w:t>
      </w:r>
      <w:proofErr w:type="gramEnd"/>
      <w:r>
        <w:rPr>
          <w:rFonts w:eastAsia="Arial Unicode MS" w:cs="Arial Unicode MS"/>
          <w:lang w:val="en-US"/>
        </w:rPr>
        <w:t xml:space="preserve"> or routinely violating this right can have far</w:t>
      </w:r>
      <w:r w:rsidR="00C675D1">
        <w:rPr>
          <w:rFonts w:eastAsia="Arial Unicode MS" w:cs="Arial Unicode MS"/>
          <w:lang w:val="en-US"/>
        </w:rPr>
        <w:t>-</w:t>
      </w:r>
      <w:r>
        <w:rPr>
          <w:rFonts w:eastAsia="Arial Unicode MS" w:cs="Arial Unicode MS"/>
          <w:lang w:val="en-US"/>
        </w:rPr>
        <w:t>reaching and serious consequences,</w:t>
      </w:r>
      <w:r w:rsidR="003640DA">
        <w:rPr>
          <w:rFonts w:eastAsia="Arial Unicode MS" w:cs="Arial Unicode MS"/>
        </w:rPr>
        <w:t>’</w:t>
      </w:r>
      <w:r>
        <w:rPr>
          <w:vertAlign w:val="superscript"/>
        </w:rPr>
        <w:footnoteReference w:id="3"/>
      </w:r>
      <w:r>
        <w:rPr>
          <w:rFonts w:eastAsia="Arial Unicode MS" w:cs="Arial Unicode MS"/>
          <w:lang w:val="en-US"/>
        </w:rPr>
        <w:t xml:space="preserve"> as we are currently observing in Iran.</w:t>
      </w:r>
    </w:p>
    <w:p w14:paraId="371A54CC" w14:textId="60E38030" w:rsidR="00DE6C3C" w:rsidRDefault="00000000">
      <w:pPr>
        <w:pStyle w:val="Body"/>
      </w:pPr>
      <w:r>
        <w:rPr>
          <w:rFonts w:eastAsia="Arial Unicode MS" w:cs="Arial Unicode MS"/>
          <w:lang w:val="en-US"/>
        </w:rPr>
        <w:t xml:space="preserve">With the death toll set to mount even further amidst the indiscriminate use of live ammunition against unarmed </w:t>
      </w:r>
      <w:r w:rsidR="003640DA">
        <w:rPr>
          <w:rFonts w:eastAsia="Arial Unicode MS" w:cs="Arial Unicode MS"/>
          <w:lang w:val="en-US"/>
        </w:rPr>
        <w:t xml:space="preserve">men, </w:t>
      </w:r>
      <w:proofErr w:type="gramStart"/>
      <w:r w:rsidR="003640DA">
        <w:rPr>
          <w:rFonts w:eastAsia="Arial Unicode MS" w:cs="Arial Unicode MS"/>
          <w:lang w:val="en-US"/>
        </w:rPr>
        <w:t>women</w:t>
      </w:r>
      <w:proofErr w:type="gramEnd"/>
      <w:r w:rsidR="003640DA">
        <w:rPr>
          <w:rFonts w:eastAsia="Arial Unicode MS" w:cs="Arial Unicode MS"/>
          <w:lang w:val="en-US"/>
        </w:rPr>
        <w:t xml:space="preserve"> and children</w:t>
      </w:r>
      <w:r>
        <w:rPr>
          <w:rFonts w:eastAsia="Arial Unicode MS" w:cs="Arial Unicode MS"/>
          <w:lang w:val="en-US"/>
        </w:rPr>
        <w:t xml:space="preserve">, and </w:t>
      </w:r>
      <w:r w:rsidR="00C675D1">
        <w:rPr>
          <w:rFonts w:eastAsia="Arial Unicode MS" w:cs="Arial Unicode MS"/>
          <w:lang w:val="en-US"/>
        </w:rPr>
        <w:t xml:space="preserve">as </w:t>
      </w:r>
      <w:r>
        <w:rPr>
          <w:rFonts w:eastAsia="Arial Unicode MS" w:cs="Arial Unicode MS"/>
          <w:lang w:val="en-US"/>
        </w:rPr>
        <w:t xml:space="preserve">the regime </w:t>
      </w:r>
      <w:r>
        <w:rPr>
          <w:rFonts w:eastAsia="Arial Unicode MS" w:cs="Arial Unicode MS"/>
          <w:lang w:val="fr-FR"/>
        </w:rPr>
        <w:t>institutes</w:t>
      </w:r>
      <w:r>
        <w:rPr>
          <w:rFonts w:eastAsia="Arial Unicode MS" w:cs="Arial Unicode MS"/>
          <w:lang w:val="en-US"/>
        </w:rPr>
        <w:t xml:space="preserve"> a policy of </w:t>
      </w:r>
      <w:r w:rsidR="003640DA">
        <w:rPr>
          <w:rFonts w:eastAsia="Arial Unicode MS" w:cs="Arial Unicode MS"/>
          <w:lang w:val="en-US"/>
        </w:rPr>
        <w:t>pronouncing</w:t>
      </w:r>
      <w:r>
        <w:rPr>
          <w:rFonts w:eastAsia="Arial Unicode MS" w:cs="Arial Unicode MS"/>
          <w:lang w:val="en-US"/>
        </w:rPr>
        <w:t xml:space="preserve"> death sentences on protestors for allegedly </w:t>
      </w:r>
      <w:r>
        <w:rPr>
          <w:rFonts w:eastAsia="Arial Unicode MS" w:cs="Arial Unicode MS"/>
          <w:rtl/>
        </w:rPr>
        <w:t>‘</w:t>
      </w:r>
      <w:r>
        <w:rPr>
          <w:rFonts w:eastAsia="Arial Unicode MS" w:cs="Arial Unicode MS"/>
          <w:lang w:val="en-US"/>
        </w:rPr>
        <w:t>waging was against God</w:t>
      </w:r>
      <w:r>
        <w:rPr>
          <w:rFonts w:eastAsia="Arial Unicode MS" w:cs="Arial Unicode MS"/>
          <w:rtl/>
        </w:rPr>
        <w:t>’</w:t>
      </w:r>
      <w:r>
        <w:rPr>
          <w:rFonts w:eastAsia="Arial Unicode MS" w:cs="Arial Unicode MS"/>
          <w:lang w:val="en-US"/>
        </w:rPr>
        <w:t xml:space="preserve"> when they are simply calling for </w:t>
      </w:r>
      <w:r w:rsidR="003640DA">
        <w:rPr>
          <w:rFonts w:eastAsia="Arial Unicode MS" w:cs="Arial Unicode MS"/>
          <w:lang w:val="en-US"/>
        </w:rPr>
        <w:t xml:space="preserve">greater </w:t>
      </w:r>
      <w:r>
        <w:rPr>
          <w:rFonts w:eastAsia="Arial Unicode MS" w:cs="Arial Unicode MS"/>
          <w:lang w:val="en-US"/>
        </w:rPr>
        <w:t xml:space="preserve">rights and freedoms, we are urging the Council to initiate stronger measures to assist Iranian citizens </w:t>
      </w:r>
      <w:r w:rsidR="003640DA">
        <w:rPr>
          <w:rFonts w:eastAsia="Arial Unicode MS" w:cs="Arial Unicode MS"/>
          <w:lang w:val="en-US"/>
        </w:rPr>
        <w:t>including</w:t>
      </w:r>
      <w:r>
        <w:rPr>
          <w:rFonts w:eastAsia="Arial Unicode MS" w:cs="Arial Unicode MS"/>
          <w:lang w:val="en-US"/>
        </w:rPr>
        <w:t>:</w:t>
      </w:r>
    </w:p>
    <w:p w14:paraId="0833DF9E" w14:textId="77777777" w:rsidR="00DE6C3C" w:rsidRDefault="00DE6C3C">
      <w:pPr>
        <w:pStyle w:val="ListParagraph"/>
      </w:pPr>
    </w:p>
    <w:p w14:paraId="49166B24" w14:textId="77777777" w:rsidR="00DE6C3C" w:rsidRDefault="00DE6C3C">
      <w:pPr>
        <w:pStyle w:val="ListParagraph"/>
      </w:pPr>
    </w:p>
    <w:p w14:paraId="7C192D80" w14:textId="77777777" w:rsidR="00DE6C3C" w:rsidRDefault="00DE6C3C">
      <w:pPr>
        <w:pStyle w:val="ListParagraph"/>
      </w:pPr>
    </w:p>
    <w:p w14:paraId="3CC2532F" w14:textId="77777777" w:rsidR="00DE6C3C" w:rsidRDefault="00DE6C3C">
      <w:pPr>
        <w:pStyle w:val="ListParagraph"/>
      </w:pPr>
    </w:p>
    <w:p w14:paraId="05FDF8F6" w14:textId="77777777" w:rsidR="00DE6C3C" w:rsidRDefault="00000000">
      <w:pPr>
        <w:pStyle w:val="ListParagraph"/>
        <w:numPr>
          <w:ilvl w:val="0"/>
          <w:numId w:val="2"/>
        </w:numPr>
      </w:pPr>
      <w:r>
        <w:t xml:space="preserve">Urgently mandating and resourcing an independent investigative mechanism to closely monitor the current situation alongside the Special Rapporteur </w:t>
      </w:r>
      <w:proofErr w:type="gramStart"/>
      <w:r>
        <w:t>on the situation of</w:t>
      </w:r>
      <w:proofErr w:type="gramEnd"/>
      <w:r>
        <w:t xml:space="preserve"> human rights in Iran, with a focus on evidence gathering, and ensuring accountability for crimes under international law and other serious human rights violations which have occurred during the course of these protests.</w:t>
      </w:r>
    </w:p>
    <w:p w14:paraId="7B44A265" w14:textId="210484A6" w:rsidR="00DE6C3C" w:rsidRDefault="00000000">
      <w:pPr>
        <w:pStyle w:val="ListParagraph"/>
        <w:numPr>
          <w:ilvl w:val="0"/>
          <w:numId w:val="2"/>
        </w:numPr>
      </w:pPr>
      <w:r>
        <w:t>Ensuring that future dialogues and interactions with Iran will be contingent on ending the use of excessive force and fast</w:t>
      </w:r>
      <w:r w:rsidR="00805F7E">
        <w:t>-</w:t>
      </w:r>
      <w:r>
        <w:t xml:space="preserve">tracked courts which lack due process and issue excessive sentences, releasing all who are currently detained arbitrarily in connection with the protests, returning the bodies of victims to their families in a timely manner, and facilitating the full enjoyment of the rights and freedoms articulated in the ICCPR.  </w:t>
      </w:r>
    </w:p>
    <w:p w14:paraId="13170344" w14:textId="77777777" w:rsidR="00DE6C3C" w:rsidRDefault="00000000">
      <w:pPr>
        <w:pStyle w:val="ListParagraph"/>
        <w:numPr>
          <w:ilvl w:val="0"/>
          <w:numId w:val="2"/>
        </w:numPr>
      </w:pPr>
      <w:r>
        <w:t xml:space="preserve">Fully supporting the work of the Special Rapporteur on Iran, and ensuring the mandate has every resource required to fulfil its duties. </w:t>
      </w:r>
    </w:p>
    <w:p w14:paraId="74E503DE" w14:textId="77777777" w:rsidR="00DE6C3C" w:rsidRDefault="00000000">
      <w:pPr>
        <w:pStyle w:val="ListParagraph"/>
        <w:numPr>
          <w:ilvl w:val="0"/>
          <w:numId w:val="2"/>
        </w:numPr>
      </w:pPr>
      <w:r>
        <w:t xml:space="preserve">Encouraging the Special Rapporteur and other UN Special Procedures and Treaty Bodies to include the right to FoRB in their monitoring and reporting, addressing the unique vulnerabilities and violations faced by religious or belief communities and those seeking to assist them. </w:t>
      </w:r>
    </w:p>
    <w:p w14:paraId="10D25662" w14:textId="1E6EB9BC" w:rsidR="00DE6C3C" w:rsidRDefault="00000000">
      <w:pPr>
        <w:pStyle w:val="ListParagraph"/>
        <w:numPr>
          <w:ilvl w:val="0"/>
          <w:numId w:val="2"/>
        </w:numPr>
      </w:pPr>
      <w:r>
        <w:t xml:space="preserve">The formulation by individual nations of effective measures to </w:t>
      </w:r>
      <w:r w:rsidR="005068E8">
        <w:t>bring</w:t>
      </w:r>
      <w:r>
        <w:t xml:space="preserve"> </w:t>
      </w:r>
      <w:r w:rsidR="005068E8">
        <w:t xml:space="preserve">to account </w:t>
      </w:r>
      <w:r>
        <w:t>Iran</w:t>
      </w:r>
      <w:r w:rsidR="005068E8">
        <w:t>ian</w:t>
      </w:r>
      <w:r>
        <w:t xml:space="preserve"> officials </w:t>
      </w:r>
      <w:r w:rsidR="005068E8">
        <w:t xml:space="preserve">suspected of committing crimes under international law, </w:t>
      </w:r>
      <w:r w:rsidR="00805F7E">
        <w:t xml:space="preserve">and </w:t>
      </w:r>
      <w:r w:rsidR="005068E8">
        <w:t xml:space="preserve">Iranian </w:t>
      </w:r>
      <w:r w:rsidR="00805F7E">
        <w:t>oligarchs</w:t>
      </w:r>
      <w:r w:rsidR="005068E8">
        <w:t xml:space="preserve"> and their families</w:t>
      </w:r>
      <w:r w:rsidR="00805F7E">
        <w:t xml:space="preserve"> living abroad, </w:t>
      </w:r>
      <w:r>
        <w:t xml:space="preserve">including through human rights sanctions regimes, </w:t>
      </w:r>
      <w:r w:rsidR="00805F7E">
        <w:t>asset</w:t>
      </w:r>
      <w:r w:rsidR="005068E8">
        <w:t xml:space="preserve"> freezes</w:t>
      </w:r>
      <w:r w:rsidR="00805F7E">
        <w:t xml:space="preserve">, travel bans, and invoking </w:t>
      </w:r>
      <w:r>
        <w:t>extraterritorial jurisdiction wherever and whenever possible.</w:t>
      </w:r>
    </w:p>
    <w:p w14:paraId="7048B575" w14:textId="77777777" w:rsidR="00DE6C3C" w:rsidRDefault="00DE6C3C">
      <w:pPr>
        <w:pStyle w:val="Body"/>
      </w:pPr>
    </w:p>
    <w:p w14:paraId="30662AC3" w14:textId="77777777" w:rsidR="00DE6C3C" w:rsidRDefault="00DE6C3C">
      <w:pPr>
        <w:pStyle w:val="Body"/>
        <w:ind w:left="360"/>
      </w:pPr>
    </w:p>
    <w:p w14:paraId="5A834BFC" w14:textId="77777777" w:rsidR="00DE6C3C" w:rsidRDefault="00DE6C3C">
      <w:pPr>
        <w:pStyle w:val="Body"/>
      </w:pPr>
    </w:p>
    <w:p w14:paraId="7A06F7E2" w14:textId="77777777" w:rsidR="00DE6C3C" w:rsidRDefault="00000000">
      <w:pPr>
        <w:pStyle w:val="Body"/>
      </w:pPr>
      <w:r>
        <w:rPr>
          <w:rFonts w:eastAsia="Arial Unicode MS" w:cs="Arial Unicode MS"/>
        </w:rPr>
        <w:t xml:space="preserve"> </w:t>
      </w:r>
    </w:p>
    <w:sectPr w:rsidR="00DE6C3C">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1256" w14:textId="77777777" w:rsidR="00D82E74" w:rsidRDefault="00D82E74">
      <w:r>
        <w:separator/>
      </w:r>
    </w:p>
  </w:endnote>
  <w:endnote w:type="continuationSeparator" w:id="0">
    <w:p w14:paraId="3EB18832" w14:textId="77777777" w:rsidR="00D82E74" w:rsidRDefault="00D8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259F" w14:textId="77777777" w:rsidR="00DE6C3C" w:rsidRDefault="00DE6C3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7806" w14:textId="77777777" w:rsidR="00D82E74" w:rsidRDefault="00D82E74">
      <w:r>
        <w:separator/>
      </w:r>
    </w:p>
  </w:footnote>
  <w:footnote w:type="continuationSeparator" w:id="0">
    <w:p w14:paraId="6D5B6123" w14:textId="77777777" w:rsidR="00D82E74" w:rsidRDefault="00D82E74">
      <w:r>
        <w:continuationSeparator/>
      </w:r>
    </w:p>
  </w:footnote>
  <w:footnote w:type="continuationNotice" w:id="1">
    <w:p w14:paraId="55589B09" w14:textId="77777777" w:rsidR="00D82E74" w:rsidRDefault="00D82E74"/>
  </w:footnote>
  <w:footnote w:id="2">
    <w:p w14:paraId="1F1A1A2B" w14:textId="38DAFCB2" w:rsidR="00DE6C3C" w:rsidRDefault="00000000">
      <w:pPr>
        <w:pStyle w:val="FootnoteText"/>
      </w:pPr>
      <w:r>
        <w:rPr>
          <w:vertAlign w:val="superscript"/>
        </w:rPr>
        <w:footnoteRef/>
      </w:r>
      <w:r>
        <w:rPr>
          <w:rFonts w:eastAsia="Arial Unicode MS" w:cs="Arial Unicode MS"/>
        </w:rPr>
        <w:t xml:space="preserve"> By </w:t>
      </w:r>
      <w:r w:rsidR="00805F7E">
        <w:rPr>
          <w:rFonts w:eastAsia="Arial Unicode MS" w:cs="Arial Unicode MS"/>
        </w:rPr>
        <w:t>‘</w:t>
      </w:r>
      <w:r w:rsidRPr="003640DA">
        <w:rPr>
          <w:rFonts w:eastAsia="Arial Unicode MS" w:cs="Arial Unicode MS"/>
          <w:i/>
          <w:iCs/>
        </w:rPr>
        <w:t>Persecution</w:t>
      </w:r>
      <w:r w:rsidR="00805F7E">
        <w:rPr>
          <w:rFonts w:eastAsia="Arial Unicode MS" w:cs="Arial Unicode MS"/>
        </w:rPr>
        <w:t>’</w:t>
      </w:r>
      <w:r>
        <w:rPr>
          <w:rFonts w:eastAsia="Arial Unicode MS" w:cs="Arial Unicode MS"/>
        </w:rPr>
        <w:t xml:space="preserve"> we mean </w:t>
      </w:r>
      <w:r w:rsidR="003640DA">
        <w:rPr>
          <w:rFonts w:eastAsia="Arial Unicode MS" w:cs="Arial Unicode MS"/>
        </w:rPr>
        <w:t>‘</w:t>
      </w:r>
      <w:r>
        <w:rPr>
          <w:rFonts w:eastAsia="Arial Unicode MS" w:cs="Arial Unicode MS"/>
        </w:rPr>
        <w:t>the intentional and severe deprivation of fundamental rights contrary to international law by reason of the identity of the group or collectivity</w:t>
      </w:r>
      <w:r w:rsidR="003640DA">
        <w:rPr>
          <w:rFonts w:eastAsia="Arial Unicode MS" w:cs="Arial Unicode MS"/>
        </w:rPr>
        <w:t>’</w:t>
      </w:r>
      <w:r>
        <w:rPr>
          <w:rFonts w:eastAsia="Arial Unicode MS" w:cs="Arial Unicode MS"/>
        </w:rPr>
        <w:t xml:space="preserve"> (Art. 7.2. g Rome Statute of the International Criminal Court).</w:t>
      </w:r>
    </w:p>
  </w:footnote>
  <w:footnote w:id="3">
    <w:p w14:paraId="476A9393" w14:textId="77777777" w:rsidR="00DE6C3C" w:rsidRDefault="00000000">
      <w:pPr>
        <w:pStyle w:val="FootnoteText"/>
      </w:pPr>
      <w:r>
        <w:rPr>
          <w:vertAlign w:val="superscript"/>
        </w:rPr>
        <w:footnoteRef/>
      </w:r>
      <w:r>
        <w:rPr>
          <w:rFonts w:eastAsia="Arial Unicode MS" w:cs="Arial Unicode MS"/>
        </w:rPr>
        <w:t xml:space="preserve"> CSW, “Freedom of Religion or Belief Around the World”,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08B0" w14:textId="77777777" w:rsidR="00DE6C3C" w:rsidRDefault="00000000">
    <w:pPr>
      <w:pStyle w:val="Header"/>
      <w:tabs>
        <w:tab w:val="clear" w:pos="9026"/>
        <w:tab w:val="right" w:pos="9000"/>
      </w:tabs>
    </w:pPr>
    <w:r>
      <w:rPr>
        <w:noProof/>
      </w:rPr>
      <w:drawing>
        <wp:inline distT="0" distB="0" distL="0" distR="0" wp14:anchorId="2FE77DA9" wp14:editId="5ECC9602">
          <wp:extent cx="1163370" cy="89191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163370" cy="891918"/>
                  </a:xfrm>
                  <a:prstGeom prst="rect">
                    <a:avLst/>
                  </a:prstGeom>
                  <a:ln w="12700" cap="flat">
                    <a:noFill/>
                    <a:miter lim="400000"/>
                  </a:ln>
                  <a:effectLst/>
                </pic:spPr>
              </pic:pic>
            </a:graphicData>
          </a:graphic>
        </wp:inline>
      </w:drawing>
    </w:r>
    <w:r>
      <w:t xml:space="preserve">                                                                    </w:t>
    </w:r>
    <w:r>
      <w:rPr>
        <w:noProof/>
      </w:rPr>
      <w:drawing>
        <wp:inline distT="0" distB="0" distL="0" distR="0" wp14:anchorId="69A3ADDB" wp14:editId="47519050">
          <wp:extent cx="2372009" cy="812721"/>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2"/>
                  <a:stretch>
                    <a:fillRect/>
                  </a:stretch>
                </pic:blipFill>
                <pic:spPr>
                  <a:xfrm>
                    <a:off x="0" y="0"/>
                    <a:ext cx="2372009" cy="81272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1C4"/>
    <w:multiLevelType w:val="hybridMultilevel"/>
    <w:tmpl w:val="E8221984"/>
    <w:numStyleLink w:val="ImportedStyle1"/>
  </w:abstractNum>
  <w:abstractNum w:abstractNumId="1" w15:restartNumberingAfterBreak="0">
    <w:nsid w:val="35315025"/>
    <w:multiLevelType w:val="hybridMultilevel"/>
    <w:tmpl w:val="E8221984"/>
    <w:styleLink w:val="ImportedStyle1"/>
    <w:lvl w:ilvl="0" w:tplc="46DCF4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B9263C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31CB54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998C86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F543F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5C0BF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2B2755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A70C5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4031D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90165479">
    <w:abstractNumId w:val="1"/>
  </w:num>
  <w:num w:numId="2" w16cid:durableId="55247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C3C"/>
    <w:rsid w:val="003640DA"/>
    <w:rsid w:val="005068E8"/>
    <w:rsid w:val="00805F7E"/>
    <w:rsid w:val="00A37F1B"/>
    <w:rsid w:val="00C675D1"/>
    <w:rsid w:val="00CC5BD5"/>
    <w:rsid w:val="00D82E74"/>
    <w:rsid w:val="00DE6C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FD90"/>
  <w15:docId w15:val="{CD69330F-62FA-4B92-B770-9AA79A62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Khataza Gondwe</cp:lastModifiedBy>
  <cp:revision>4</cp:revision>
  <dcterms:created xsi:type="dcterms:W3CDTF">2022-11-23T20:28:00Z</dcterms:created>
  <dcterms:modified xsi:type="dcterms:W3CDTF">2022-11-23T20:32:00Z</dcterms:modified>
</cp:coreProperties>
</file>